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Titles/Descriptions/Links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Titles/Descriptions/Links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Starts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Personal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Professional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</w:r>
            <w:r w:rsidDel="00000000" w:rsidR="00000000" w:rsidRPr="00000000">
              <w:rPr>
                <w:rtl w:val="0"/>
              </w:rPr>
              <w:t xml:space="preserve">Argument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Toss the Car DVD Player and look out the window!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Expressive Writing for Student improvment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</w:r>
            <w:r w:rsidDel="00000000" w:rsidR="00000000" w:rsidRPr="00000000">
              <w:rPr>
                <w:rtl w:val="0"/>
              </w:rPr>
              <w:t xml:space="preserve">Informative-Explanatory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“A Writer is…”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Heart Map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“Dash-Tastic”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</w:r>
            <w:r w:rsidDel="00000000" w:rsidR="00000000" w:rsidRPr="00000000">
              <w:rPr>
                <w:rtl w:val="0"/>
              </w:rPr>
              <w:t xml:space="preserve">Narrative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Bowling Party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“Grandpa Link”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“I’m the one…”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</w:r>
            <w:r w:rsidDel="00000000" w:rsidR="00000000" w:rsidRPr="00000000">
              <w:rPr>
                <w:rtl w:val="0"/>
              </w:rPr>
              <w:t xml:space="preserve">Reflective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“In this one, you…”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“Mike”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“I’m the One who…”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Publications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***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***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  <w:t xml:space="preserve">Argument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rFonts w:ascii="Indie Flower" w:cs="Indie Flower" w:eastAsia="Indie Flower" w:hAnsi="Indie Flower"/>
                  <w:color w:val="1155cc"/>
                  <w:u w:val="single"/>
                  <w:rtl w:val="0"/>
                </w:rPr>
                <w:t xml:space="preserve">Expressive Writing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  <w:t xml:space="preserve">Informative-Explanatory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rFonts w:ascii="Indie Flower" w:cs="Indie Flower" w:eastAsia="Indie Flower" w:hAnsi="Indie Flower"/>
                  <w:color w:val="1155cc"/>
                  <w:u w:val="single"/>
                  <w:rtl w:val="0"/>
                </w:rPr>
                <w:t xml:space="preserve">My New Kentucky Home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rFonts w:ascii="Indie Flower" w:cs="Indie Flower" w:eastAsia="Indie Flower" w:hAnsi="Indie Flower"/>
                  <w:color w:val="1155cc"/>
                  <w:u w:val="single"/>
                  <w:rtl w:val="0"/>
                </w:rPr>
                <w:t xml:space="preserve">Screencast Demo/Explo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  <w:t xml:space="preserve">Narrative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“Finished and Ready to Begin” on blog at: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rFonts w:ascii="Indie Flower" w:cs="Indie Flower" w:eastAsia="Indie Flower" w:hAnsi="Indie Flower"/>
                  <w:color w:val="1155cc"/>
                  <w:u w:val="single"/>
                  <w:rtl w:val="0"/>
                </w:rPr>
                <w:t xml:space="preserve">https://philosophiesofteaching.wordpress.com/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</w:t>
              <w:tab/>
              <w:t xml:space="preserve">Reflective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“Friendless Friends”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rFonts w:ascii="Indie Flower" w:cs="Indie Flower" w:eastAsia="Indie Flower" w:hAnsi="Indie Flower"/>
                  <w:color w:val="1155cc"/>
                  <w:u w:val="single"/>
                  <w:rtl w:val="0"/>
                </w:rPr>
                <w:t xml:space="preserve">philosphiesofteaching.wordpress.com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“Inquiry” On my blog at: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0">
              <w:r w:rsidDel="00000000" w:rsidR="00000000" w:rsidRPr="00000000">
                <w:rPr>
                  <w:rFonts w:ascii="Indie Flower" w:cs="Indie Flower" w:eastAsia="Indie Flower" w:hAnsi="Indie Flower"/>
                  <w:color w:val="1155cc"/>
                  <w:u w:val="single"/>
                  <w:rtl w:val="0"/>
                </w:rPr>
                <w:t xml:space="preserve">https://philosophiesofteaching.wordpress.com/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Indie Flow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s://philosophiesofteaching.wordpress.com/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s://philosophiesofteaching.wordpress.com/" TargetMode="External"/><Relationship Id="rId6" Type="http://schemas.openxmlformats.org/officeDocument/2006/relationships/hyperlink" Target="https://youtu.be/UWFndak8A5w" TargetMode="External"/><Relationship Id="rId5" Type="http://schemas.openxmlformats.org/officeDocument/2006/relationships/hyperlink" Target="https://philosophiesofteaching.wordpress.com/2015/06/09/expressive-writing-for-engagement-practice-and-self-efficacy/" TargetMode="External"/><Relationship Id="rId8" Type="http://schemas.openxmlformats.org/officeDocument/2006/relationships/hyperlink" Target="https://philosophiesofteaching.wordpress.com/" TargetMode="External"/><Relationship Id="rId7" Type="http://schemas.openxmlformats.org/officeDocument/2006/relationships/hyperlink" Target="https://philosophiesofteaching.wordpress.com/" TargetMode="External"/></Relationships>
</file>